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9A89" w14:textId="77777777" w:rsidR="007A45E9" w:rsidRDefault="007A45E9" w:rsidP="007A45E9">
      <w:pPr>
        <w:rPr>
          <w:rFonts w:ascii="Linotte-Light" w:hAnsi="Linotte-Light" w:cs="Times New Roman"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3F3367" wp14:editId="1619EE86">
            <wp:simplePos x="0" y="0"/>
            <wp:positionH relativeFrom="margin">
              <wp:posOffset>-333375</wp:posOffset>
            </wp:positionH>
            <wp:positionV relativeFrom="margin">
              <wp:posOffset>-467360</wp:posOffset>
            </wp:positionV>
            <wp:extent cx="2190750" cy="641350"/>
            <wp:effectExtent l="0" t="0" r="0" b="6350"/>
            <wp:wrapSquare wrapText="bothSides"/>
            <wp:docPr id="56589152" name="Image 6" descr="LOGO_PG_100% MAGENTA_SANS EN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PG_100% MAGENTA_SANS ENCAD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B460C" w14:textId="77777777" w:rsidR="007A45E9" w:rsidRDefault="007A45E9" w:rsidP="007A45E9">
      <w:pPr>
        <w:rPr>
          <w:rFonts w:ascii="Linotte-Light" w:hAnsi="Linotte-Light" w:cs="Times New Roman"/>
          <w:b/>
          <w:sz w:val="36"/>
          <w:szCs w:val="36"/>
        </w:rPr>
      </w:pPr>
    </w:p>
    <w:p w14:paraId="669B10C0" w14:textId="77777777" w:rsidR="007A45E9" w:rsidRPr="00DF183A" w:rsidRDefault="007A45E9" w:rsidP="007A45E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TARIFS 202</w:t>
      </w:r>
      <w:r>
        <w:rPr>
          <w:rFonts w:ascii="Linotte-Regular" w:hAnsi="Linotte-Regular" w:cs="Times New Roman"/>
          <w:b/>
          <w:sz w:val="36"/>
          <w:szCs w:val="36"/>
        </w:rPr>
        <w:t>6</w:t>
      </w:r>
      <w:r w:rsidRPr="00DF183A">
        <w:rPr>
          <w:rFonts w:ascii="Linotte-Regular" w:hAnsi="Linotte-Regular" w:cs="Times New Roman"/>
          <w:b/>
          <w:sz w:val="36"/>
          <w:szCs w:val="36"/>
        </w:rPr>
        <w:t xml:space="preserve"> – PORTS DE PERROS-GUIREC</w:t>
      </w:r>
    </w:p>
    <w:p w14:paraId="65DE8025" w14:textId="77777777" w:rsidR="007A45E9" w:rsidRPr="00DF183A" w:rsidRDefault="007A45E9" w:rsidP="007A45E9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PORT DE PLOUMANAC’H</w:t>
      </w:r>
    </w:p>
    <w:p w14:paraId="23E708F3" w14:textId="77777777" w:rsidR="007A45E9" w:rsidRDefault="007A45E9" w:rsidP="007A45E9">
      <w:pPr>
        <w:jc w:val="center"/>
      </w:pPr>
      <w:r>
        <w:fldChar w:fldCharType="begin"/>
      </w:r>
      <w:r>
        <w:instrText xml:space="preserve"> LINK Excel.Sheet.12 "\\\\10.107.1.16\\Partage_port\\Tarifs ports\\2024 Tarifs ports\\Tarifs 2024.xlsx" Ploumanac'h!L2C1:L19C9 \a \f 4 \h  \* MERGEFORMAT </w:instrText>
      </w:r>
      <w:r>
        <w:fldChar w:fldCharType="separate"/>
      </w:r>
    </w:p>
    <w:p w14:paraId="714F0F44" w14:textId="77777777" w:rsidR="007A45E9" w:rsidRPr="00FC0BA7" w:rsidRDefault="007A45E9" w:rsidP="007A45E9">
      <w:pPr>
        <w:jc w:val="center"/>
        <w:rPr>
          <w:rFonts w:ascii="Linotte-Light" w:hAnsi="Linotte-Light" w:cs="Times New Roman"/>
          <w:sz w:val="20"/>
          <w:szCs w:val="20"/>
        </w:rPr>
      </w:pPr>
      <w:r>
        <w:fldChar w:fldCharType="end"/>
      </w:r>
      <w:r w:rsidRPr="00E93452">
        <w:rPr>
          <w:noProof/>
        </w:rPr>
        <w:drawing>
          <wp:inline distT="0" distB="0" distL="0" distR="0" wp14:anchorId="5BC3D6ED" wp14:editId="03191BDE">
            <wp:extent cx="5800725" cy="3343275"/>
            <wp:effectExtent l="0" t="0" r="9525" b="9525"/>
            <wp:docPr id="6228285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F9">
        <w:t xml:space="preserve"> </w:t>
      </w:r>
    </w:p>
    <w:p w14:paraId="01099E5D" w14:textId="77777777" w:rsidR="007A45E9" w:rsidRPr="00FC0BA7" w:rsidRDefault="007A45E9" w:rsidP="007A45E9">
      <w:pPr>
        <w:jc w:val="center"/>
        <w:rPr>
          <w:rFonts w:ascii="Linotte-Light" w:hAnsi="Linotte-Light" w:cs="Times New Roman"/>
          <w:sz w:val="20"/>
          <w:szCs w:val="20"/>
        </w:rPr>
      </w:pPr>
    </w:p>
    <w:p w14:paraId="690D1699" w14:textId="77777777" w:rsidR="007A45E9" w:rsidRDefault="007A45E9" w:rsidP="007A45E9">
      <w:pPr>
        <w:widowControl w:val="0"/>
        <w:tabs>
          <w:tab w:val="left" w:pos="8789"/>
        </w:tabs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bookmarkStart w:id="0" w:name="RANGE!Q1:AE21"/>
      <w:bookmarkEnd w:id="0"/>
      <w:r>
        <w:rPr>
          <w:rFonts w:ascii="Linotte-Light" w:hAnsi="Linotte-Light" w:cs="Times New Roman"/>
          <w:sz w:val="20"/>
          <w:szCs w:val="20"/>
        </w:rPr>
        <w:t>Tous les</w:t>
      </w:r>
      <w:r w:rsidRPr="00A701B1">
        <w:rPr>
          <w:rFonts w:ascii="Linotte-Light" w:hAnsi="Linotte-Light" w:cs="Times New Roman"/>
          <w:sz w:val="20"/>
          <w:szCs w:val="20"/>
        </w:rPr>
        <w:t xml:space="preserve"> abonnements </w:t>
      </w:r>
      <w:r>
        <w:rPr>
          <w:rFonts w:ascii="Linotte-Light" w:hAnsi="Linotte-Light" w:cs="Times New Roman"/>
          <w:sz w:val="20"/>
          <w:szCs w:val="20"/>
        </w:rPr>
        <w:t>y compris les escales,</w:t>
      </w:r>
      <w:r w:rsidRPr="00A701B1">
        <w:rPr>
          <w:rFonts w:ascii="Linotte-Light" w:hAnsi="Linotte-Light" w:cs="Times New Roman"/>
          <w:sz w:val="20"/>
          <w:szCs w:val="20"/>
        </w:rPr>
        <w:t xml:space="preserve"> sont facturés à la longueur réelle hors tout. </w:t>
      </w:r>
    </w:p>
    <w:p w14:paraId="3628C9FE" w14:textId="77777777" w:rsidR="007A45E9" w:rsidRPr="00A701B1" w:rsidRDefault="007A45E9" w:rsidP="007A45E9">
      <w:pPr>
        <w:widowControl w:val="0"/>
        <w:tabs>
          <w:tab w:val="left" w:pos="8789"/>
        </w:tabs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 w:rsidRPr="00A701B1">
        <w:rPr>
          <w:rFonts w:ascii="Linotte-Light" w:hAnsi="Linotte-Light" w:cs="Times New Roman"/>
          <w:sz w:val="20"/>
          <w:szCs w:val="20"/>
        </w:rPr>
        <w:t>La capitainerie se réserve le droit de mesurer les bateaux. Les tarifs du tableau ci-dessus sont indicatifs.</w:t>
      </w:r>
    </w:p>
    <w:p w14:paraId="55D9F57B" w14:textId="77777777" w:rsidR="007A45E9" w:rsidRDefault="007A45E9" w:rsidP="007A45E9">
      <w:pPr>
        <w:widowControl w:val="0"/>
        <w:tabs>
          <w:tab w:val="left" w:pos="8789"/>
        </w:tabs>
        <w:autoSpaceDE w:val="0"/>
        <w:autoSpaceDN w:val="0"/>
        <w:adjustRightInd w:val="0"/>
        <w:ind w:right="941" w:firstLine="284"/>
        <w:jc w:val="both"/>
        <w:rPr>
          <w:rFonts w:ascii="Linotte-Light" w:hAnsi="Linotte-Light" w:cs="Times New Roman"/>
          <w:sz w:val="20"/>
          <w:szCs w:val="20"/>
        </w:rPr>
      </w:pPr>
    </w:p>
    <w:p w14:paraId="25AB5237" w14:textId="77777777" w:rsidR="007A45E9" w:rsidRPr="0054292A" w:rsidRDefault="007A45E9" w:rsidP="007A45E9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 w:rsidRPr="0054292A">
        <w:rPr>
          <w:rFonts w:ascii="Linotte-Light" w:hAnsi="Linotte-Light" w:cs="Times New Roman"/>
          <w:sz w:val="20"/>
          <w:szCs w:val="20"/>
        </w:rPr>
        <w:t>Du 1</w:t>
      </w:r>
      <w:r w:rsidRPr="0054292A">
        <w:rPr>
          <w:rFonts w:ascii="Linotte-Light" w:hAnsi="Linotte-Light" w:cs="Times New Roman"/>
          <w:sz w:val="20"/>
          <w:szCs w:val="20"/>
          <w:vertAlign w:val="superscript"/>
        </w:rPr>
        <w:t>er</w:t>
      </w:r>
      <w:r w:rsidRPr="0054292A">
        <w:rPr>
          <w:rFonts w:ascii="Linotte-Light" w:hAnsi="Linotte-Light" w:cs="Times New Roman"/>
          <w:sz w:val="20"/>
          <w:szCs w:val="20"/>
        </w:rPr>
        <w:t xml:space="preserve"> mai au 30 septembre : saison estivale et du 1</w:t>
      </w:r>
      <w:r w:rsidRPr="0054292A">
        <w:rPr>
          <w:rFonts w:ascii="Linotte-Light" w:hAnsi="Linotte-Light" w:cs="Times New Roman"/>
          <w:sz w:val="20"/>
          <w:szCs w:val="20"/>
          <w:vertAlign w:val="superscript"/>
        </w:rPr>
        <w:t>er</w:t>
      </w:r>
      <w:r w:rsidRPr="0054292A">
        <w:rPr>
          <w:rFonts w:ascii="Linotte-Light" w:hAnsi="Linotte-Light" w:cs="Times New Roman"/>
          <w:sz w:val="20"/>
          <w:szCs w:val="20"/>
        </w:rPr>
        <w:t xml:space="preserve"> octobre au 30 avril : saison hivernale. </w:t>
      </w:r>
    </w:p>
    <w:p w14:paraId="387DDC5A" w14:textId="77777777" w:rsidR="007A45E9" w:rsidRDefault="007A45E9" w:rsidP="007A45E9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4F7B3067" w14:textId="77777777" w:rsidR="007A45E9" w:rsidRPr="00C40531" w:rsidRDefault="007A45E9" w:rsidP="007A45E9">
      <w:pPr>
        <w:pStyle w:val="Paragraphedeliste"/>
        <w:widowControl w:val="0"/>
        <w:autoSpaceDE w:val="0"/>
        <w:autoSpaceDN w:val="0"/>
        <w:adjustRightInd w:val="0"/>
        <w:ind w:left="0" w:right="941"/>
        <w:jc w:val="both"/>
        <w:rPr>
          <w:rFonts w:ascii="Linotte-Light" w:hAnsi="Linotte-Light" w:cs="Times New Roman"/>
          <w:color w:val="D60093"/>
          <w:sz w:val="28"/>
          <w:szCs w:val="28"/>
        </w:rPr>
      </w:pPr>
      <w:r w:rsidRPr="00C40531">
        <w:rPr>
          <w:rFonts w:ascii="Linotte-Light" w:hAnsi="Linotte-Light" w:cs="Times New Roman"/>
          <w:b/>
          <w:bCs/>
          <w:color w:val="D60093"/>
          <w:sz w:val="28"/>
          <w:szCs w:val="28"/>
        </w:rPr>
        <w:t>LES PLAISANCIERS EN ESCALE</w:t>
      </w:r>
      <w:r w:rsidRPr="00C40531">
        <w:rPr>
          <w:rFonts w:ascii="Linotte-Light" w:hAnsi="Linotte-Light" w:cs="Times New Roman"/>
          <w:color w:val="D60093"/>
          <w:sz w:val="28"/>
          <w:szCs w:val="28"/>
        </w:rPr>
        <w:t xml:space="preserve"> </w:t>
      </w:r>
    </w:p>
    <w:p w14:paraId="43FCB2BD" w14:textId="77777777" w:rsidR="007A45E9" w:rsidRDefault="007A45E9" w:rsidP="007A45E9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</w:rPr>
      </w:pPr>
    </w:p>
    <w:p w14:paraId="5061D5E6" w14:textId="77777777" w:rsidR="007A45E9" w:rsidRPr="00EF4B25" w:rsidRDefault="007A45E9" w:rsidP="007A45E9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  <w:u w:val="single"/>
        </w:rPr>
      </w:pPr>
      <w:r w:rsidRPr="00EF4B25">
        <w:rPr>
          <w:rFonts w:ascii="Linotte-Light" w:hAnsi="Linotte-Light" w:cs="Times New Roman"/>
          <w:sz w:val="20"/>
          <w:szCs w:val="20"/>
          <w:u w:val="single"/>
        </w:rPr>
        <w:t xml:space="preserve">Escale à l’échouage : </w:t>
      </w:r>
    </w:p>
    <w:p w14:paraId="5457BF35" w14:textId="77777777" w:rsidR="007A45E9" w:rsidRPr="00EF4B25" w:rsidRDefault="007A45E9" w:rsidP="007A45E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right="941" w:firstLine="0"/>
        <w:jc w:val="both"/>
        <w:rPr>
          <w:rFonts w:ascii="Linotte-Light" w:hAnsi="Linotte-Light" w:cs="Times New Roman"/>
          <w:sz w:val="20"/>
          <w:szCs w:val="20"/>
        </w:rPr>
      </w:pPr>
      <w:r w:rsidRPr="00EF4B25">
        <w:rPr>
          <w:rFonts w:ascii="Linotte-Light" w:hAnsi="Linotte-Light" w:cs="Times New Roman"/>
          <w:sz w:val="20"/>
          <w:szCs w:val="20"/>
        </w:rPr>
        <w:t>- 50% sur les tarifs d’escales toute l’année</w:t>
      </w:r>
    </w:p>
    <w:p w14:paraId="454F2840" w14:textId="77777777" w:rsidR="007A45E9" w:rsidRDefault="007A45E9" w:rsidP="007A45E9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  <w:u w:val="single"/>
        </w:rPr>
      </w:pPr>
    </w:p>
    <w:p w14:paraId="08C7EA7B" w14:textId="77777777" w:rsidR="007A45E9" w:rsidRPr="00EF4B25" w:rsidRDefault="007A45E9" w:rsidP="007A45E9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  <w:u w:val="single"/>
        </w:rPr>
      </w:pPr>
      <w:r w:rsidRPr="00EF4B25">
        <w:rPr>
          <w:rFonts w:ascii="Linotte-Light" w:hAnsi="Linotte-Light" w:cs="Times New Roman"/>
          <w:sz w:val="20"/>
          <w:szCs w:val="20"/>
          <w:u w:val="single"/>
        </w:rPr>
        <w:t xml:space="preserve">Escale à flot : </w:t>
      </w:r>
    </w:p>
    <w:p w14:paraId="787B323E" w14:textId="77777777" w:rsidR="007A45E9" w:rsidRPr="00EF4B25" w:rsidRDefault="007A45E9" w:rsidP="007A45E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right="941" w:firstLine="0"/>
        <w:jc w:val="both"/>
        <w:rPr>
          <w:rFonts w:ascii="Linotte-Light" w:hAnsi="Linotte-Light" w:cs="Times New Roman"/>
          <w:sz w:val="20"/>
          <w:szCs w:val="20"/>
        </w:rPr>
      </w:pPr>
      <w:r w:rsidRPr="00EF4B25">
        <w:rPr>
          <w:rFonts w:ascii="Linotte-Light" w:hAnsi="Linotte-Light" w:cs="Times New Roman"/>
          <w:sz w:val="20"/>
          <w:szCs w:val="20"/>
        </w:rPr>
        <w:t>- 50% sur les tarifs d’escales en période hivernale</w:t>
      </w:r>
    </w:p>
    <w:p w14:paraId="29437241" w14:textId="77777777" w:rsidR="007A45E9" w:rsidRPr="00EF4B25" w:rsidRDefault="007A45E9" w:rsidP="007A45E9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</w:p>
    <w:p w14:paraId="1B82F9AA" w14:textId="77777777" w:rsidR="007A45E9" w:rsidRPr="00C40531" w:rsidRDefault="007A45E9" w:rsidP="007A45E9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b/>
          <w:color w:val="D60093"/>
          <w:sz w:val="28"/>
          <w:szCs w:val="28"/>
        </w:rPr>
      </w:pPr>
      <w:r w:rsidRPr="00C40531">
        <w:rPr>
          <w:rFonts w:ascii="Linotte-Light" w:hAnsi="Linotte-Light" w:cs="Times New Roman"/>
          <w:b/>
          <w:color w:val="D60093"/>
          <w:sz w:val="28"/>
          <w:szCs w:val="28"/>
        </w:rPr>
        <w:t>LES PLAISANCIERS EN CONTRAT ANNUEL / HIVERNAGE</w:t>
      </w:r>
    </w:p>
    <w:p w14:paraId="0AB09E44" w14:textId="77777777" w:rsidR="007A45E9" w:rsidRDefault="007A45E9" w:rsidP="007A45E9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</w:p>
    <w:p w14:paraId="34B45053" w14:textId="77777777" w:rsidR="007A45E9" w:rsidRPr="000F07BD" w:rsidRDefault="007A45E9" w:rsidP="007A45E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993" w:right="941"/>
        <w:jc w:val="both"/>
        <w:rPr>
          <w:rFonts w:ascii="Linotte-Light" w:hAnsi="Linotte-Light" w:cs="Times New Roman"/>
          <w:sz w:val="20"/>
          <w:szCs w:val="20"/>
        </w:rPr>
      </w:pPr>
      <w:r w:rsidRPr="000F07BD">
        <w:rPr>
          <w:rFonts w:ascii="Linotte-Light" w:hAnsi="Linotte-Light" w:cs="Times New Roman"/>
          <w:sz w:val="20"/>
          <w:szCs w:val="20"/>
        </w:rPr>
        <w:t xml:space="preserve">Les abonnements « Hivernage long 7 mois » bénéficient de 40 % de réduction lorsque l’hivernage est à l’échouage. </w:t>
      </w:r>
    </w:p>
    <w:p w14:paraId="047A4DC8" w14:textId="77777777" w:rsidR="007A45E9" w:rsidRPr="00EF4B25" w:rsidRDefault="007A45E9" w:rsidP="007A45E9">
      <w:pPr>
        <w:pStyle w:val="Paragraphedeliste"/>
        <w:numPr>
          <w:ilvl w:val="0"/>
          <w:numId w:val="2"/>
        </w:numPr>
        <w:tabs>
          <w:tab w:val="left" w:pos="142"/>
          <w:tab w:val="left" w:pos="426"/>
        </w:tabs>
        <w:ind w:left="993" w:right="276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EF4B25">
        <w:rPr>
          <w:rFonts w:ascii="Linotte-Light" w:eastAsia="Times New Roman" w:hAnsi="Linotte-Light"/>
          <w:bCs/>
          <w:sz w:val="20"/>
          <w:szCs w:val="20"/>
        </w:rPr>
        <w:t xml:space="preserve">BATEAUX D’INTERET PATRIMONIAL : </w:t>
      </w:r>
      <w:r>
        <w:rPr>
          <w:rFonts w:ascii="Linotte-Light" w:eastAsia="Times New Roman" w:hAnsi="Linotte-Light"/>
          <w:bCs/>
          <w:sz w:val="20"/>
          <w:szCs w:val="20"/>
        </w:rPr>
        <w:t>s</w:t>
      </w:r>
      <w:r w:rsidRPr="00EF4B25">
        <w:rPr>
          <w:rFonts w:ascii="Linotte-Light" w:eastAsia="Times New Roman" w:hAnsi="Linotte-Light"/>
          <w:bCs/>
          <w:sz w:val="20"/>
          <w:szCs w:val="20"/>
        </w:rPr>
        <w:t>ur demande et après étude des justificatifs, les bateaux d’intérêt patrimonial répertoriés bénéficient d’une réduction de 5% pour tous les contrats annuels et escales,</w:t>
      </w:r>
    </w:p>
    <w:p w14:paraId="6306AC06" w14:textId="77777777" w:rsidR="007A45E9" w:rsidRDefault="007A45E9" w:rsidP="007A45E9">
      <w:pPr>
        <w:pStyle w:val="Paragraphedeliste"/>
        <w:numPr>
          <w:ilvl w:val="0"/>
          <w:numId w:val="2"/>
        </w:numPr>
        <w:ind w:left="993"/>
        <w:jc w:val="both"/>
        <w:rPr>
          <w:rFonts w:ascii="Linotte-Light" w:eastAsia="Times New Roman" w:hAnsi="Linotte-Light"/>
          <w:sz w:val="20"/>
          <w:szCs w:val="20"/>
        </w:rPr>
      </w:pPr>
      <w:r w:rsidRPr="00EF4B25">
        <w:rPr>
          <w:rFonts w:ascii="Linotte-Light" w:eastAsia="Times New Roman" w:hAnsi="Linotte-Light"/>
          <w:sz w:val="20"/>
          <w:szCs w:val="20"/>
        </w:rPr>
        <w:t xml:space="preserve">PASSAGE CALE DE PARK AR BIVIC : </w:t>
      </w:r>
    </w:p>
    <w:p w14:paraId="12024F21" w14:textId="77777777" w:rsidR="007A45E9" w:rsidRDefault="007A45E9" w:rsidP="007A45E9">
      <w:pPr>
        <w:pStyle w:val="Paragraphedeliste"/>
        <w:numPr>
          <w:ilvl w:val="2"/>
          <w:numId w:val="2"/>
        </w:numPr>
        <w:jc w:val="both"/>
        <w:rPr>
          <w:rFonts w:ascii="Linotte-Light" w:eastAsia="Times New Roman" w:hAnsi="Linotte-Light"/>
          <w:sz w:val="20"/>
          <w:szCs w:val="20"/>
        </w:rPr>
      </w:pPr>
      <w:r>
        <w:rPr>
          <w:rFonts w:ascii="Linotte-Light" w:eastAsia="Times New Roman" w:hAnsi="Linotte-Light"/>
          <w:sz w:val="20"/>
          <w:szCs w:val="20"/>
        </w:rPr>
        <w:t>20 € la carte nominative par année avec accès illimité</w:t>
      </w:r>
    </w:p>
    <w:p w14:paraId="7DA25C82" w14:textId="77777777" w:rsidR="007A45E9" w:rsidRDefault="007A45E9" w:rsidP="007A45E9">
      <w:pPr>
        <w:pStyle w:val="Paragraphedeliste"/>
        <w:numPr>
          <w:ilvl w:val="2"/>
          <w:numId w:val="2"/>
        </w:numPr>
        <w:jc w:val="both"/>
        <w:rPr>
          <w:rFonts w:ascii="Linotte-Light" w:eastAsia="Times New Roman" w:hAnsi="Linotte-Light"/>
          <w:sz w:val="20"/>
          <w:szCs w:val="20"/>
        </w:rPr>
      </w:pPr>
      <w:r>
        <w:rPr>
          <w:rFonts w:ascii="Linotte-Light" w:eastAsia="Times New Roman" w:hAnsi="Linotte-Light"/>
          <w:sz w:val="20"/>
          <w:szCs w:val="20"/>
        </w:rPr>
        <w:t xml:space="preserve">5 € par passage </w:t>
      </w:r>
    </w:p>
    <w:p w14:paraId="15726864" w14:textId="11F487F7" w:rsidR="00D40E55" w:rsidRDefault="007A45E9" w:rsidP="007A45E9">
      <w:pPr>
        <w:pStyle w:val="Paragraphedeliste"/>
        <w:numPr>
          <w:ilvl w:val="2"/>
          <w:numId w:val="2"/>
        </w:numPr>
        <w:jc w:val="both"/>
      </w:pPr>
      <w:r w:rsidRPr="007A45E9">
        <w:rPr>
          <w:rFonts w:ascii="Linotte-Light" w:eastAsia="Times New Roman" w:hAnsi="Linotte-Light"/>
          <w:sz w:val="20"/>
          <w:szCs w:val="20"/>
        </w:rPr>
        <w:t>1 mois 30 € ou 4 mois (juin-sept) 100 €</w:t>
      </w:r>
    </w:p>
    <w:sectPr w:rsidR="00D40E55" w:rsidSect="007A4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otte-Light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Linotte-Regular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B47"/>
    <w:multiLevelType w:val="hybridMultilevel"/>
    <w:tmpl w:val="7CF8B34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3A5E8E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930A21"/>
    <w:multiLevelType w:val="hybridMultilevel"/>
    <w:tmpl w:val="70E47994"/>
    <w:lvl w:ilvl="0" w:tplc="46C456D6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683821512">
    <w:abstractNumId w:val="0"/>
  </w:num>
  <w:num w:numId="2" w16cid:durableId="23994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E9"/>
    <w:rsid w:val="00321F51"/>
    <w:rsid w:val="007A45E9"/>
    <w:rsid w:val="00850590"/>
    <w:rsid w:val="00954DCD"/>
    <w:rsid w:val="00D40E55"/>
    <w:rsid w:val="00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3EB7"/>
  <w15:chartTrackingRefBased/>
  <w15:docId w15:val="{A1F1E167-308F-4B12-99F3-C49A8F8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E9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A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5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5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5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5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5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5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5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45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5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5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Bodin Desjardin</dc:creator>
  <cp:keywords/>
  <dc:description/>
  <cp:lastModifiedBy>Anne Bodin Desjardin</cp:lastModifiedBy>
  <cp:revision>1</cp:revision>
  <dcterms:created xsi:type="dcterms:W3CDTF">2026-03-02T10:44:00Z</dcterms:created>
  <dcterms:modified xsi:type="dcterms:W3CDTF">2026-03-02T10:45:00Z</dcterms:modified>
</cp:coreProperties>
</file>